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35" w:rsidRDefault="00CF7DBD" w:rsidP="00256535">
      <w:pPr>
        <w:pStyle w:val="BodyText"/>
        <w:tabs>
          <w:tab w:val="left" w:pos="1701"/>
        </w:tabs>
        <w:jc w:val="center"/>
      </w:pPr>
      <w:r>
        <w:rPr>
          <w:noProof/>
          <w:lang w:val="nl-NL" w:eastAsia="nl-N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2999105</wp:posOffset>
            </wp:positionH>
            <wp:positionV relativeFrom="paragraph">
              <wp:posOffset>-123825</wp:posOffset>
            </wp:positionV>
            <wp:extent cx="638175" cy="6191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6535" w:rsidRDefault="00256535" w:rsidP="00256535">
      <w:pPr>
        <w:tabs>
          <w:tab w:val="center" w:pos="4820"/>
          <w:tab w:val="right" w:pos="5954"/>
        </w:tabs>
        <w:spacing w:after="240"/>
        <w:ind w:left="4320"/>
        <w:jc w:val="center"/>
      </w:pPr>
    </w:p>
    <w:p w:rsidR="00256535" w:rsidRPr="00256535" w:rsidRDefault="00256535" w:rsidP="00256535">
      <w:pPr>
        <w:tabs>
          <w:tab w:val="center" w:pos="4820"/>
          <w:tab w:val="right" w:pos="5954"/>
        </w:tabs>
        <w:spacing w:after="240"/>
        <w:ind w:left="4320"/>
        <w:jc w:val="center"/>
      </w:pPr>
      <w:r w:rsidRPr="00256535">
        <w:t>Input paper:</w:t>
      </w:r>
      <w:r w:rsidRPr="00256535">
        <w:tab/>
        <w:t xml:space="preserve">     VTS</w:t>
      </w:r>
      <w:r w:rsidR="000227A7">
        <w:t>41-8.4.2</w:t>
      </w:r>
      <w:bookmarkStart w:id="0" w:name="_GoBack"/>
      <w:bookmarkEnd w:id="0"/>
    </w:p>
    <w:p w:rsidR="00256535" w:rsidRPr="00256535" w:rsidRDefault="00256535" w:rsidP="00256535">
      <w:pPr>
        <w:tabs>
          <w:tab w:val="left" w:pos="2835"/>
        </w:tabs>
        <w:spacing w:after="120"/>
        <w:jc w:val="both"/>
      </w:pPr>
    </w:p>
    <w:p w:rsidR="00256535" w:rsidRPr="00256535" w:rsidRDefault="00256535" w:rsidP="00256535">
      <w:pPr>
        <w:tabs>
          <w:tab w:val="left" w:pos="2835"/>
        </w:tabs>
        <w:spacing w:after="120"/>
        <w:jc w:val="both"/>
      </w:pPr>
      <w:r w:rsidRPr="00256535">
        <w:t xml:space="preserve">Input paper for the following Committee(s): </w:t>
      </w:r>
      <w:r w:rsidRPr="00256535">
        <w:tab/>
      </w:r>
      <w:r w:rsidRPr="00256535">
        <w:rPr>
          <w:sz w:val="18"/>
          <w:szCs w:val="18"/>
        </w:rPr>
        <w:t>check as appropriate</w:t>
      </w:r>
      <w:r w:rsidRPr="00256535">
        <w:rPr>
          <w:sz w:val="18"/>
          <w:szCs w:val="18"/>
        </w:rPr>
        <w:tab/>
      </w:r>
      <w:r w:rsidRPr="00256535">
        <w:tab/>
        <w:t>Purpose of paper:</w:t>
      </w:r>
    </w:p>
    <w:p w:rsidR="00256535" w:rsidRPr="00256535" w:rsidRDefault="00256535" w:rsidP="00256535">
      <w:pPr>
        <w:autoSpaceDE w:val="0"/>
        <w:autoSpaceDN w:val="0"/>
        <w:adjustRightInd w:val="0"/>
        <w:rPr>
          <w:rFonts w:ascii="MS Shell Dlg 2" w:hAnsi="MS Shell Dlg 2" w:cs="MS Shell Dlg 2"/>
          <w:sz w:val="17"/>
          <w:szCs w:val="17"/>
        </w:rPr>
      </w:pPr>
      <w:proofErr w:type="gramStart"/>
      <w:r w:rsidRPr="00256535">
        <w:rPr>
          <w:rFonts w:cs="Arial"/>
          <w:b/>
          <w:sz w:val="24"/>
          <w:szCs w:val="24"/>
        </w:rPr>
        <w:t>□</w:t>
      </w:r>
      <w:r w:rsidRPr="00256535">
        <w:rPr>
          <w:rFonts w:cs="Arial"/>
          <w:sz w:val="24"/>
          <w:szCs w:val="24"/>
        </w:rPr>
        <w:t xml:space="preserve">  </w:t>
      </w:r>
      <w:r w:rsidRPr="00256535">
        <w:rPr>
          <w:rFonts w:cs="Arial"/>
        </w:rPr>
        <w:t>ARM</w:t>
      </w:r>
      <w:proofErr w:type="gramEnd"/>
      <w:r w:rsidRPr="00256535">
        <w:rPr>
          <w:rFonts w:cs="Arial"/>
        </w:rPr>
        <w:tab/>
      </w:r>
      <w:r w:rsidRPr="00256535">
        <w:rPr>
          <w:rFonts w:cs="Arial"/>
          <w:b/>
          <w:sz w:val="24"/>
          <w:szCs w:val="24"/>
        </w:rPr>
        <w:t>□</w:t>
      </w:r>
      <w:r w:rsidRPr="00256535">
        <w:rPr>
          <w:rFonts w:cs="Arial"/>
          <w:sz w:val="24"/>
          <w:szCs w:val="24"/>
        </w:rPr>
        <w:t xml:space="preserve">  </w:t>
      </w:r>
      <w:r w:rsidRPr="00256535">
        <w:rPr>
          <w:rFonts w:cs="Arial"/>
        </w:rPr>
        <w:t>ENG</w:t>
      </w:r>
      <w:r w:rsidRPr="00256535">
        <w:rPr>
          <w:rFonts w:cs="Arial"/>
        </w:rPr>
        <w:tab/>
      </w:r>
      <w:r w:rsidRPr="00256535">
        <w:rPr>
          <w:rFonts w:cs="Arial"/>
        </w:rPr>
        <w:tab/>
      </w:r>
      <w:r w:rsidRPr="00256535">
        <w:rPr>
          <w:rFonts w:cs="Arial"/>
          <w:b/>
          <w:sz w:val="24"/>
          <w:szCs w:val="24"/>
        </w:rPr>
        <w:t>□</w:t>
      </w:r>
      <w:r w:rsidRPr="00256535">
        <w:rPr>
          <w:rFonts w:cs="Arial"/>
          <w:sz w:val="24"/>
          <w:szCs w:val="24"/>
        </w:rPr>
        <w:t xml:space="preserve">  </w:t>
      </w:r>
      <w:r w:rsidRPr="00256535">
        <w:rPr>
          <w:rFonts w:cs="Arial"/>
        </w:rPr>
        <w:t>PAP</w:t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6"/>
          <w:szCs w:val="26"/>
        </w:rPr>
        <w:t xml:space="preserve">√ </w:t>
      </w:r>
      <w:r w:rsidRPr="00256535">
        <w:rPr>
          <w:rFonts w:cs="Arial"/>
          <w:sz w:val="24"/>
          <w:szCs w:val="24"/>
        </w:rPr>
        <w:t>Input</w:t>
      </w:r>
    </w:p>
    <w:p w:rsidR="00256535" w:rsidRPr="00256535" w:rsidRDefault="00256535" w:rsidP="00256535">
      <w:pPr>
        <w:tabs>
          <w:tab w:val="left" w:pos="1843"/>
        </w:tabs>
        <w:spacing w:after="120"/>
        <w:jc w:val="both"/>
      </w:pPr>
      <w:proofErr w:type="gramStart"/>
      <w:r w:rsidRPr="00256535">
        <w:rPr>
          <w:rFonts w:cs="Arial"/>
          <w:b/>
          <w:sz w:val="24"/>
          <w:szCs w:val="24"/>
        </w:rPr>
        <w:t>□</w:t>
      </w:r>
      <w:r w:rsidRPr="00256535">
        <w:rPr>
          <w:rFonts w:cs="Arial"/>
          <w:sz w:val="24"/>
          <w:szCs w:val="24"/>
        </w:rPr>
        <w:t xml:space="preserve">  </w:t>
      </w:r>
      <w:r w:rsidRPr="00256535">
        <w:rPr>
          <w:rFonts w:cs="Arial"/>
        </w:rPr>
        <w:t>ENAV</w:t>
      </w:r>
      <w:proofErr w:type="gramEnd"/>
      <w:r w:rsidRPr="00256535">
        <w:rPr>
          <w:rFonts w:cs="Arial"/>
          <w:b/>
          <w:sz w:val="24"/>
          <w:szCs w:val="24"/>
        </w:rPr>
        <w:tab/>
      </w:r>
      <w:r w:rsidRPr="00256535">
        <w:t xml:space="preserve"> </w:t>
      </w:r>
      <w:r w:rsidRPr="00256535">
        <w:rPr>
          <w:rFonts w:cs="Arial"/>
          <w:sz w:val="24"/>
          <w:szCs w:val="24"/>
        </w:rPr>
        <w:t xml:space="preserve">√  </w:t>
      </w:r>
      <w:r w:rsidRPr="00256535">
        <w:rPr>
          <w:rFonts w:cs="Arial"/>
        </w:rPr>
        <w:t xml:space="preserve">VTS  </w:t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sz w:val="24"/>
          <w:szCs w:val="24"/>
        </w:rPr>
        <w:tab/>
      </w:r>
      <w:r w:rsidRPr="00256535">
        <w:rPr>
          <w:rFonts w:cs="Arial"/>
          <w:b/>
          <w:sz w:val="24"/>
          <w:szCs w:val="24"/>
        </w:rPr>
        <w:t>□</w:t>
      </w:r>
      <w:r w:rsidRPr="00256535">
        <w:rPr>
          <w:rFonts w:cs="Arial"/>
          <w:sz w:val="24"/>
          <w:szCs w:val="24"/>
        </w:rPr>
        <w:t xml:space="preserve">  Information</w:t>
      </w:r>
    </w:p>
    <w:p w:rsidR="00256535" w:rsidRPr="00256535" w:rsidRDefault="00256535" w:rsidP="00256535">
      <w:pPr>
        <w:tabs>
          <w:tab w:val="left" w:pos="2835"/>
        </w:tabs>
        <w:spacing w:after="120"/>
        <w:jc w:val="both"/>
      </w:pP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256535">
        <w:tab/>
      </w:r>
      <w:r w:rsidR="00256535">
        <w:tab/>
      </w:r>
      <w:r w:rsidR="00256535">
        <w:tab/>
      </w:r>
      <w:r w:rsidR="00280FE9" w:rsidRPr="001037E0">
        <w:rPr>
          <w:highlight w:val="yellow"/>
        </w:rPr>
        <w:t>XX</w:t>
      </w:r>
    </w:p>
    <w:p w:rsidR="00A446C9" w:rsidRDefault="00256535" w:rsidP="00362CD9">
      <w:pPr>
        <w:pStyle w:val="BodyText"/>
        <w:tabs>
          <w:tab w:val="left" w:pos="1701"/>
        </w:tabs>
      </w:pPr>
      <w:r>
        <w:t xml:space="preserve">Technical Domain / </w:t>
      </w:r>
      <w:r w:rsidR="00A446C9">
        <w:t>Task Number</w:t>
      </w:r>
      <w:r w:rsidR="001C44A3">
        <w:tab/>
      </w:r>
      <w:r w:rsidR="00280FE9">
        <w:t>1.4.2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 w:rsidR="00256535">
        <w:t xml:space="preserve"> / Submitter(s)</w:t>
      </w:r>
      <w:r>
        <w:tab/>
      </w:r>
      <w:r w:rsidR="00256535">
        <w:tab/>
      </w:r>
      <w:r w:rsidR="00280FE9">
        <w:t>Kevin Gregory and Barry Goldman for IHMA</w:t>
      </w:r>
    </w:p>
    <w:p w:rsidR="00A446C9" w:rsidRDefault="00CF7DBD" w:rsidP="00A446C9">
      <w:pPr>
        <w:pStyle w:val="Title"/>
      </w:pPr>
      <w:r>
        <w:t xml:space="preserve">The </w:t>
      </w:r>
      <w:r w:rsidR="00985101">
        <w:t>future of the</w:t>
      </w:r>
      <w:r>
        <w:t xml:space="preserve"> </w:t>
      </w:r>
      <w:r w:rsidR="00280FE9">
        <w:t>N</w:t>
      </w:r>
      <w:r w:rsidR="008A07EF">
        <w:t xml:space="preserve">avigational </w:t>
      </w:r>
      <w:r w:rsidR="00280FE9">
        <w:t>A</w:t>
      </w:r>
      <w:r w:rsidR="008A07EF">
        <w:t xml:space="preserve">ssistance </w:t>
      </w:r>
      <w:r w:rsidR="00280FE9">
        <w:t>S</w:t>
      </w:r>
      <w:r w:rsidR="008A07EF">
        <w:t>ervice</w:t>
      </w:r>
    </w:p>
    <w:p w:rsidR="00A446C9" w:rsidRDefault="00A446C9" w:rsidP="00A446C9">
      <w:pPr>
        <w:pStyle w:val="Heading1"/>
      </w:pPr>
      <w:r>
        <w:t>Summary</w:t>
      </w:r>
    </w:p>
    <w:p w:rsidR="005142A8" w:rsidRDefault="00756279" w:rsidP="00B56BDF">
      <w:pPr>
        <w:pStyle w:val="BodyText"/>
      </w:pPr>
      <w:r>
        <w:t xml:space="preserve">The policy on the provision and delivery of </w:t>
      </w:r>
      <w:r w:rsidR="00A70123">
        <w:t xml:space="preserve">the Types of Service offered by a </w:t>
      </w:r>
      <w:r>
        <w:t>VTS was updated in Dec 2012 (Reference [1]).  Notwithstanding this recent update, it is submitted that confusion still exists in the minds of many mariners, VTS Operators and VTS Authorities over these services an</w:t>
      </w:r>
      <w:r w:rsidR="005142A8">
        <w:t>d</w:t>
      </w:r>
      <w:r>
        <w:t>,</w:t>
      </w:r>
      <w:r w:rsidR="005142A8">
        <w:t xml:space="preserve"> </w:t>
      </w:r>
      <w:r>
        <w:t xml:space="preserve">in particular, over the </w:t>
      </w:r>
      <w:r w:rsidR="005142A8">
        <w:t>provision of a Navigational Assistance Service.</w:t>
      </w:r>
    </w:p>
    <w:p w:rsidR="005142A8" w:rsidRDefault="005142A8" w:rsidP="00B56BDF">
      <w:pPr>
        <w:pStyle w:val="BodyText"/>
      </w:pPr>
      <w:r>
        <w:t xml:space="preserve">This input paper proposes that, in the </w:t>
      </w:r>
      <w:r w:rsidR="003E367B">
        <w:t xml:space="preserve">anticipated </w:t>
      </w:r>
      <w:r w:rsidR="002823BB">
        <w:t>update</w:t>
      </w:r>
      <w:r w:rsidR="003E367B">
        <w:t xml:space="preserve"> </w:t>
      </w:r>
      <w:r>
        <w:t xml:space="preserve">of IMO Resolution A.857(20) (Reference [2] Task 1.4.2), </w:t>
      </w:r>
      <w:r w:rsidR="000C43F4">
        <w:t xml:space="preserve">the provision of </w:t>
      </w:r>
      <w:r>
        <w:t xml:space="preserve">Navigational Assistance should be </w:t>
      </w:r>
      <w:r w:rsidR="000C43F4">
        <w:t xml:space="preserve">reviewed </w:t>
      </w:r>
      <w:r>
        <w:t xml:space="preserve">and more properly described </w:t>
      </w:r>
      <w:r w:rsidR="000C43F4">
        <w:t xml:space="preserve">to assist VTS Authorities </w:t>
      </w:r>
      <w:r w:rsidR="00253FE4">
        <w:t xml:space="preserve">in </w:t>
      </w:r>
      <w:r w:rsidR="000C43F4">
        <w:t>its effective implementation.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5142A8" w:rsidP="00E55927">
      <w:pPr>
        <w:pStyle w:val="BodyText"/>
      </w:pPr>
      <w:r>
        <w:t>The purpose of this document is to seek review by the VTS Committee</w:t>
      </w:r>
      <w:r w:rsidR="00611B02">
        <w:t xml:space="preserve"> and IALA Council </w:t>
      </w:r>
      <w:r>
        <w:t>of the current policy for the delivery of a Navigational Assistance Service</w:t>
      </w:r>
      <w:r w:rsidR="00C3450C">
        <w:t xml:space="preserve">. The output of any review may then be included in the </w:t>
      </w:r>
      <w:r w:rsidR="00A70123">
        <w:t>anticipated</w:t>
      </w:r>
      <w:r w:rsidR="00C3450C">
        <w:t xml:space="preserve"> </w:t>
      </w:r>
      <w:r w:rsidR="00611B02">
        <w:t xml:space="preserve">update to IMO Recommendation </w:t>
      </w:r>
      <w:proofErr w:type="gramStart"/>
      <w:r w:rsidR="00611B02">
        <w:t>A.857(</w:t>
      </w:r>
      <w:proofErr w:type="gramEnd"/>
      <w:r w:rsidR="00611B02">
        <w:t>20).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611B02" w:rsidP="00A446C9">
      <w:pPr>
        <w:pStyle w:val="BodyText"/>
      </w:pPr>
      <w:r>
        <w:t>The VTS Committee has debated the Types of Service provided by a VTS over many years.  The most recent guidance on service provision (Reference [1]) included at its paragraph 3.1 more detailed guidance on what Types of Service might be appropriate.  Notwithstanding this updated guidance, it is clear fr</w:t>
      </w:r>
      <w:r w:rsidR="007F73BE">
        <w:t>om</w:t>
      </w:r>
      <w:r w:rsidR="00F50EFE">
        <w:t xml:space="preserve"> d</w:t>
      </w:r>
      <w:r>
        <w:t>eclaration</w:t>
      </w:r>
      <w:r w:rsidR="00F50EFE">
        <w:t>s</w:t>
      </w:r>
      <w:r>
        <w:t xml:space="preserve"> of service provision by many VTS Authorities that the provision of a Navigational Assistance Service</w:t>
      </w:r>
      <w:r w:rsidR="007E2059">
        <w:t xml:space="preserve"> (NAS)</w:t>
      </w:r>
      <w:r>
        <w:t xml:space="preserve"> is still not properly understood and, indeed, </w:t>
      </w:r>
      <w:r w:rsidR="00EB536C">
        <w:t>opinions on interpretation exist even amongst policy makers.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EB536C" w:rsidP="00A446C9">
      <w:pPr>
        <w:pStyle w:val="BodyText"/>
      </w:pPr>
      <w:r>
        <w:t xml:space="preserve">Current VTS service provision is mandated by </w:t>
      </w:r>
      <w:r w:rsidR="00D65629">
        <w:t xml:space="preserve">the </w:t>
      </w:r>
      <w:r>
        <w:t xml:space="preserve">IMO </w:t>
      </w:r>
      <w:r w:rsidR="002823BB">
        <w:t xml:space="preserve">within </w:t>
      </w:r>
      <w:r>
        <w:t xml:space="preserve">Resolution </w:t>
      </w:r>
      <w:proofErr w:type="gramStart"/>
      <w:r>
        <w:t>A.857(</w:t>
      </w:r>
      <w:proofErr w:type="gramEnd"/>
      <w:r>
        <w:t xml:space="preserve">20).  The need to update this </w:t>
      </w:r>
      <w:r w:rsidR="002823BB">
        <w:t xml:space="preserve">Resolution </w:t>
      </w:r>
      <w:r>
        <w:t>has been recognised and a task to update the Resolution forms part of the current work plan (Reference [2]).  The recently issued IALA Strategy Paper (Reference [3]) recognises that confusion exists over service provision and identifies at its Annex B that “</w:t>
      </w:r>
      <w:r w:rsidRPr="00EB536C">
        <w:rPr>
          <w:i/>
        </w:rPr>
        <w:t>The types of services need to be more clearly defined as they currently are a source for continuous debate</w:t>
      </w:r>
      <w:r>
        <w:t xml:space="preserve">”.  IALA has also invited the IMO Sub-Committee to note that </w:t>
      </w:r>
      <w:r w:rsidRPr="00EB536C">
        <w:rPr>
          <w:i/>
        </w:rPr>
        <w:t xml:space="preserve">“some IMO Member States, co-sponsored by IALA, may consider a submission to the Maritime Safety Committee with a proposal for the review of resolution </w:t>
      </w:r>
      <w:proofErr w:type="gramStart"/>
      <w:r w:rsidRPr="00EB536C">
        <w:rPr>
          <w:i/>
        </w:rPr>
        <w:t>A.857(</w:t>
      </w:r>
      <w:proofErr w:type="gramEnd"/>
      <w:r w:rsidRPr="00EB536C">
        <w:rPr>
          <w:i/>
        </w:rPr>
        <w:t>20)</w:t>
      </w:r>
      <w:r>
        <w:t>”.</w:t>
      </w:r>
      <w:r w:rsidR="007E2059">
        <w:t xml:space="preserve">  The current task of submitting a proposal for an update to Resolution </w:t>
      </w:r>
      <w:proofErr w:type="gramStart"/>
      <w:r w:rsidR="007E2059">
        <w:t>A.857(</w:t>
      </w:r>
      <w:proofErr w:type="gramEnd"/>
      <w:r w:rsidR="007E2059">
        <w:t>20) to IMO is, therefore, a unique opportunity to address the confusion over NAS.</w:t>
      </w:r>
    </w:p>
    <w:p w:rsidR="007E2059" w:rsidRDefault="00256535" w:rsidP="00A446C9">
      <w:pPr>
        <w:pStyle w:val="BodyText"/>
      </w:pPr>
      <w:r>
        <w:br w:type="page"/>
      </w:r>
      <w:r w:rsidR="007E2059">
        <w:lastRenderedPageBreak/>
        <w:t>Commodore Barry Goldman has written an article which has been submitted to the Nautical Institute for inclusion in its magazine “Seaways”</w:t>
      </w:r>
      <w:r w:rsidR="00294C3C">
        <w:t xml:space="preserve"> and will be published in March</w:t>
      </w:r>
      <w:r w:rsidR="00253FE4">
        <w:t xml:space="preserve"> 2016</w:t>
      </w:r>
      <w:r w:rsidR="007E2059">
        <w:t>.  A copy of this article is attached.  In summary, this article sets out:</w:t>
      </w:r>
    </w:p>
    <w:p w:rsidR="005767C4" w:rsidRDefault="005767C4" w:rsidP="005767C4">
      <w:pPr>
        <w:pStyle w:val="BodyText"/>
        <w:numPr>
          <w:ilvl w:val="0"/>
          <w:numId w:val="43"/>
        </w:numPr>
        <w:jc w:val="left"/>
      </w:pPr>
      <w:r>
        <w:t xml:space="preserve">The current IMO Resolution was </w:t>
      </w:r>
      <w:r w:rsidR="002823BB">
        <w:t xml:space="preserve">published </w:t>
      </w:r>
      <w:r>
        <w:t>at a time of significant change and that it sought to address fears that some authorities might seek to dilute pilotage.</w:t>
      </w:r>
    </w:p>
    <w:p w:rsidR="005767C4" w:rsidRDefault="005767C4" w:rsidP="005767C4">
      <w:pPr>
        <w:pStyle w:val="BodyText"/>
        <w:numPr>
          <w:ilvl w:val="0"/>
          <w:numId w:val="43"/>
        </w:numPr>
        <w:jc w:val="left"/>
      </w:pPr>
      <w:r>
        <w:t>That, notwithstanding specific guidance provided by IALA in Guideline 1089</w:t>
      </w:r>
      <w:r w:rsidR="00C3450C">
        <w:t xml:space="preserve"> and the amplifying explanation in the IALA VTS Manual</w:t>
      </w:r>
      <w:r>
        <w:t xml:space="preserve">, a significant number of VTS Authorities were not declaring the </w:t>
      </w:r>
      <w:r w:rsidR="002823BB">
        <w:t xml:space="preserve">provision </w:t>
      </w:r>
      <w:r>
        <w:t>of a NAS where this may be considered to be appropriate and postulates that this may be due to confusion over interpretation and/or a misplaced fear of liability.</w:t>
      </w:r>
    </w:p>
    <w:p w:rsidR="00BB3FAC" w:rsidRDefault="005767C4" w:rsidP="00BB3FAC">
      <w:pPr>
        <w:pStyle w:val="BodyText"/>
        <w:numPr>
          <w:ilvl w:val="0"/>
          <w:numId w:val="43"/>
        </w:numPr>
        <w:jc w:val="left"/>
      </w:pPr>
      <w:r>
        <w:t>That existing doctrine allows for a common misconception that NAS equates to “</w:t>
      </w:r>
      <w:r w:rsidR="00BB3FAC">
        <w:t>Remote Pilotage” but that remote pilotage is not a VTS Type of Service as recognised by IALA but is approved by some nations as a pilotage service.</w:t>
      </w:r>
    </w:p>
    <w:p w:rsidR="00BB3FAC" w:rsidRDefault="00BB3FAC" w:rsidP="00BB3FAC">
      <w:pPr>
        <w:pStyle w:val="BodyText"/>
        <w:jc w:val="left"/>
      </w:pPr>
      <w:r>
        <w:t>The article concludes that the delivery of navigational assistance</w:t>
      </w:r>
      <w:r w:rsidR="00D65629">
        <w:t xml:space="preserve">, especially </w:t>
      </w:r>
      <w:r w:rsidR="000C43F4">
        <w:t>in unplanned circumstances</w:t>
      </w:r>
      <w:r w:rsidR="00D65629">
        <w:t>,</w:t>
      </w:r>
      <w:r w:rsidR="000C43F4">
        <w:t xml:space="preserve"> </w:t>
      </w:r>
      <w:r>
        <w:t xml:space="preserve">should be more properly regarded as a procedure or technique and that IMO Resolution </w:t>
      </w:r>
      <w:proofErr w:type="gramStart"/>
      <w:r>
        <w:t>A.857(</w:t>
      </w:r>
      <w:proofErr w:type="gramEnd"/>
      <w:r>
        <w:t>20) should be amended accordingly.</w:t>
      </w:r>
      <w:r w:rsidR="00294C3C">
        <w:t xml:space="preserve">  It offers </w:t>
      </w:r>
      <w:r w:rsidR="00253FE4">
        <w:t>an alternative</w:t>
      </w:r>
      <w:r w:rsidR="00294C3C">
        <w:t xml:space="preserve"> </w:t>
      </w:r>
      <w:r w:rsidR="000C43F4">
        <w:t xml:space="preserve">in </w:t>
      </w:r>
      <w:r w:rsidR="00294C3C">
        <w:t xml:space="preserve">that NAS </w:t>
      </w:r>
      <w:r w:rsidR="00C3450C">
        <w:t xml:space="preserve">as a Type of Service </w:t>
      </w:r>
      <w:r w:rsidR="00294C3C">
        <w:t>is retained for pre-planned navigational assistance whilst unplanned navigational assistance is redefined as a procedure</w:t>
      </w:r>
      <w:r w:rsidR="00737CC0">
        <w:t xml:space="preserve"> or technique</w:t>
      </w:r>
      <w:r w:rsidR="00294C3C">
        <w:t xml:space="preserve">.  It recognises that this compromise </w:t>
      </w:r>
      <w:r w:rsidR="00737CC0">
        <w:t>may</w:t>
      </w:r>
      <w:r w:rsidR="00294C3C">
        <w:t xml:space="preserve"> not fully </w:t>
      </w:r>
      <w:r w:rsidR="00294C3C" w:rsidRPr="00294C3C">
        <w:t>address the existing potential for confusion and misinterpretation</w:t>
      </w:r>
      <w:r w:rsidR="00235BDC">
        <w:t xml:space="preserve"> and may leave open the potential for a link being made with remote pilotage</w:t>
      </w:r>
      <w:r w:rsidR="00294C3C" w:rsidRPr="00294C3C">
        <w:t xml:space="preserve">.  </w:t>
      </w:r>
    </w:p>
    <w:p w:rsidR="00BB3FAC" w:rsidRDefault="00BB3FAC" w:rsidP="00BB3FAC">
      <w:pPr>
        <w:pStyle w:val="BodyText"/>
        <w:jc w:val="left"/>
      </w:pPr>
      <w:r>
        <w:t>IHMA supports the discussion and conclusion</w:t>
      </w:r>
      <w:r w:rsidR="00235BDC">
        <w:t>s</w:t>
      </w:r>
      <w:r>
        <w:t xml:space="preserve"> of this article and </w:t>
      </w:r>
      <w:r w:rsidR="0039209A">
        <w:t>recommends that</w:t>
      </w:r>
      <w:r>
        <w:t xml:space="preserve"> the VTS Committee consider the proposal to </w:t>
      </w:r>
      <w:r w:rsidR="00737CC0">
        <w:t xml:space="preserve">review the current definition of </w:t>
      </w:r>
      <w:r>
        <w:t>Navigational Assistance</w:t>
      </w:r>
      <w:r w:rsidR="00D65629">
        <w:t>, especially in</w:t>
      </w:r>
      <w:r w:rsidR="00737CC0">
        <w:t xml:space="preserve"> unplanned circumstances</w:t>
      </w:r>
      <w:r w:rsidR="00D65629">
        <w:t>,</w:t>
      </w:r>
      <w:r w:rsidR="00737CC0">
        <w:t xml:space="preserve"> </w:t>
      </w:r>
      <w:r>
        <w:t xml:space="preserve">as a </w:t>
      </w:r>
      <w:r w:rsidR="00737CC0">
        <w:t>Type of</w:t>
      </w:r>
      <w:r w:rsidR="00253FE4">
        <w:t xml:space="preserve"> </w:t>
      </w:r>
      <w:r>
        <w:t xml:space="preserve">Service </w:t>
      </w:r>
      <w:r w:rsidR="009F5461">
        <w:t>in the anticipated</w:t>
      </w:r>
      <w:r>
        <w:t xml:space="preserve"> review and update of </w:t>
      </w:r>
      <w:r w:rsidRPr="00BB3FAC">
        <w:t xml:space="preserve">Resolution </w:t>
      </w:r>
      <w:proofErr w:type="gramStart"/>
      <w:r w:rsidRPr="00BB3FAC">
        <w:t>A.857(</w:t>
      </w:r>
      <w:proofErr w:type="gramEnd"/>
      <w:r w:rsidRPr="00BB3FAC">
        <w:t xml:space="preserve">20) </w:t>
      </w:r>
      <w:r>
        <w:t xml:space="preserve"> for submission to IMO</w:t>
      </w:r>
      <w:r w:rsidR="00235BDC">
        <w:t xml:space="preserve">. </w:t>
      </w:r>
      <w:r w:rsidR="004579C9">
        <w:t xml:space="preserve">Further, </w:t>
      </w:r>
      <w:r w:rsidR="002E51D5">
        <w:t>such a review would serve to enable the optimum development of Maritime Service Portfolio 2 (NAS) within the e-Navigation Strategic Implementation Plan.</w:t>
      </w:r>
      <w:r w:rsidR="00253FE4">
        <w:t xml:space="preserve">  </w:t>
      </w:r>
      <w:r w:rsidR="0039209A">
        <w:t xml:space="preserve">Noting the possible expansion of VTS into other areas identified in the strategy paper, it is considered that </w:t>
      </w:r>
      <w:r w:rsidR="00737CC0">
        <w:t xml:space="preserve">a review of </w:t>
      </w:r>
      <w:r w:rsidR="00D77B3C">
        <w:t>the Navigational Assistance Service</w:t>
      </w:r>
      <w:r w:rsidR="00737CC0">
        <w:t xml:space="preserve"> would</w:t>
      </w:r>
      <w:r w:rsidR="0039209A">
        <w:t xml:space="preserve"> be advantageous </w:t>
      </w:r>
      <w:r w:rsidR="00CF7DBD">
        <w:t xml:space="preserve">and </w:t>
      </w:r>
      <w:proofErr w:type="gramStart"/>
      <w:r w:rsidR="00CF7DBD">
        <w:t xml:space="preserve">that </w:t>
      </w:r>
      <w:r w:rsidR="0039209A">
        <w:t xml:space="preserve"> consideration</w:t>
      </w:r>
      <w:proofErr w:type="gramEnd"/>
      <w:r w:rsidR="0039209A">
        <w:t xml:space="preserve"> </w:t>
      </w:r>
      <w:r w:rsidR="00CF7DBD">
        <w:t xml:space="preserve">should </w:t>
      </w:r>
      <w:r w:rsidR="0039209A">
        <w:t>also be given to the inclusion of other more appropriate definitions that are more closely aligned to the other existing Types of Service,</w:t>
      </w:r>
      <w:r w:rsidR="00FD4C6E">
        <w:t xml:space="preserve"> namely</w:t>
      </w:r>
      <w:r w:rsidR="0039209A">
        <w:t xml:space="preserve"> INS and TOS</w:t>
      </w:r>
      <w:r w:rsidR="00FD4C6E">
        <w:t xml:space="preserve">, which it is believed </w:t>
      </w:r>
      <w:r w:rsidR="0039209A">
        <w:t xml:space="preserve">remain entirely relevant.   </w:t>
      </w:r>
      <w:r>
        <w:t xml:space="preserve"> </w:t>
      </w:r>
    </w:p>
    <w:p w:rsidR="00180DDA" w:rsidRDefault="00180DDA" w:rsidP="00A446C9">
      <w:pPr>
        <w:pStyle w:val="Heading1"/>
      </w:pPr>
      <w:r>
        <w:t>References</w:t>
      </w:r>
    </w:p>
    <w:p w:rsidR="00756279" w:rsidRDefault="00756279" w:rsidP="00180DDA">
      <w:pPr>
        <w:pStyle w:val="References"/>
      </w:pPr>
      <w:r>
        <w:t>IALA Guideline No. 1089 on Provision of Vessel Traffic Services (INS, TOS &amp; NAS) Ed. 1 Dec 2012</w:t>
      </w:r>
    </w:p>
    <w:p w:rsidR="00180DDA" w:rsidRDefault="00FC0D40" w:rsidP="00180DDA">
      <w:pPr>
        <w:pStyle w:val="References"/>
      </w:pPr>
      <w:r>
        <w:t>VTS 40/14 Report of the 40</w:t>
      </w:r>
      <w:r w:rsidRPr="00FC0D40">
        <w:rPr>
          <w:vertAlign w:val="superscript"/>
        </w:rPr>
        <w:t>th</w:t>
      </w:r>
      <w:r>
        <w:t xml:space="preserve"> session of the IALA VTS Committee 19-23 Oct 2015 – Work Programme</w:t>
      </w:r>
    </w:p>
    <w:p w:rsidR="00180DDA" w:rsidRDefault="00FC0D40" w:rsidP="00FC0D40">
      <w:pPr>
        <w:pStyle w:val="References"/>
        <w:rPr>
          <w:lang w:eastAsia="de-DE"/>
        </w:rPr>
      </w:pPr>
      <w:r w:rsidRPr="00FC0D40">
        <w:rPr>
          <w:lang w:eastAsia="de-DE"/>
        </w:rPr>
        <w:t>IALA VTS Strategy Paper - Addressing the delivery of VTS in a rapidly changing world - May 2015</w:t>
      </w:r>
    </w:p>
    <w:p w:rsidR="00FC0D40" w:rsidRPr="00180DDA" w:rsidRDefault="00756279" w:rsidP="00756279">
      <w:pPr>
        <w:pStyle w:val="References"/>
        <w:rPr>
          <w:lang w:eastAsia="de-DE"/>
        </w:rPr>
      </w:pPr>
      <w:r>
        <w:rPr>
          <w:lang w:eastAsia="de-DE"/>
        </w:rPr>
        <w:t xml:space="preserve">NCSR 3/INF.10 - 17 December 2015 – </w:t>
      </w:r>
      <w:r w:rsidRPr="00756279">
        <w:rPr>
          <w:lang w:eastAsia="de-DE"/>
        </w:rPr>
        <w:t>Vessel Traffic Servi</w:t>
      </w:r>
      <w:r>
        <w:rPr>
          <w:lang w:eastAsia="de-DE"/>
        </w:rPr>
        <w:t xml:space="preserve">ces in a rapidly changing World </w:t>
      </w:r>
    </w:p>
    <w:p w:rsidR="00FC0D40" w:rsidRDefault="00FC0D40" w:rsidP="00A446C9">
      <w:pPr>
        <w:pStyle w:val="Heading1"/>
      </w:pPr>
      <w:r>
        <w:t>ENCLOSURE</w:t>
      </w:r>
    </w:p>
    <w:p w:rsidR="00FC0D40" w:rsidRDefault="00FC0D40" w:rsidP="00FC0D40">
      <w:pPr>
        <w:pStyle w:val="BodyText"/>
        <w:tabs>
          <w:tab w:val="left" w:pos="462"/>
        </w:tabs>
        <w:spacing w:after="0"/>
        <w:rPr>
          <w:lang w:eastAsia="de-DE"/>
        </w:rPr>
      </w:pPr>
      <w:r>
        <w:rPr>
          <w:lang w:eastAsia="de-DE"/>
        </w:rPr>
        <w:t>[1]</w:t>
      </w:r>
      <w:r>
        <w:rPr>
          <w:lang w:eastAsia="de-DE"/>
        </w:rPr>
        <w:tab/>
        <w:t xml:space="preserve"> Draft article submitted to “Seaways” (Nautical Institute) entitled “Navigational Assistance in </w:t>
      </w:r>
    </w:p>
    <w:p w:rsidR="00FC0D40" w:rsidRPr="00FC0D40" w:rsidRDefault="00FC0D40" w:rsidP="00FC0D40">
      <w:pPr>
        <w:pStyle w:val="BodyText"/>
        <w:tabs>
          <w:tab w:val="left" w:pos="462"/>
        </w:tabs>
        <w:spacing w:after="0"/>
        <w:rPr>
          <w:lang w:eastAsia="de-DE"/>
        </w:rPr>
      </w:pPr>
      <w:r>
        <w:rPr>
          <w:lang w:eastAsia="de-DE"/>
        </w:rPr>
        <w:tab/>
        <w:t xml:space="preserve"> VTS – A Service or a Procedure?” – Barry Goldman – Jan 2016</w:t>
      </w:r>
    </w:p>
    <w:p w:rsidR="0039209A" w:rsidRPr="0039209A" w:rsidRDefault="00A446C9" w:rsidP="0039209A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</w:p>
    <w:p w:rsidR="0039209A" w:rsidRDefault="0039209A" w:rsidP="0039209A">
      <w:pPr>
        <w:pStyle w:val="List1"/>
      </w:pPr>
      <w:r>
        <w:t>C</w:t>
      </w:r>
      <w:r w:rsidRPr="0039209A">
        <w:t xml:space="preserve">onsider the proposal to </w:t>
      </w:r>
      <w:r w:rsidR="00737CC0">
        <w:t>review the provision of a Navigational Assistance Service</w:t>
      </w:r>
      <w:r w:rsidR="009F5461">
        <w:t>, especially</w:t>
      </w:r>
      <w:r w:rsidR="00737CC0">
        <w:t xml:space="preserve"> in unplanned circumstances</w:t>
      </w:r>
      <w:r w:rsidR="00253FE4">
        <w:t>, in</w:t>
      </w:r>
      <w:r>
        <w:t xml:space="preserve"> the </w:t>
      </w:r>
      <w:r w:rsidR="009F5461">
        <w:t xml:space="preserve">anticipated </w:t>
      </w:r>
      <w:r w:rsidR="002E51D5">
        <w:t xml:space="preserve">update </w:t>
      </w:r>
      <w:r>
        <w:t xml:space="preserve">of Resolution </w:t>
      </w:r>
      <w:proofErr w:type="gramStart"/>
      <w:r>
        <w:t>A.857(</w:t>
      </w:r>
      <w:proofErr w:type="gramEnd"/>
      <w:r>
        <w:t>20).  If this proposal is supported and noting the significance of the change, the VTS Committee is further invited to;</w:t>
      </w:r>
    </w:p>
    <w:p w:rsidR="004D1D85" w:rsidRDefault="0039209A" w:rsidP="0039209A">
      <w:pPr>
        <w:pStyle w:val="List1"/>
      </w:pPr>
      <w:r>
        <w:t>Submit this paper to the IALA Council to endorse the recommendation</w:t>
      </w:r>
      <w:r w:rsidR="00FD4C6E">
        <w:t xml:space="preserve"> in principle for inclusion in the work on the update to IMO Recommendation being undertaken in Task 1.4.2</w:t>
      </w:r>
      <w:r>
        <w:t>.</w:t>
      </w:r>
    </w:p>
    <w:sectPr w:rsidR="004D1D85" w:rsidSect="00256535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52" w:rsidRDefault="00FD7A52" w:rsidP="00362CD9">
      <w:r>
        <w:separator/>
      </w:r>
    </w:p>
  </w:endnote>
  <w:endnote w:type="continuationSeparator" w:id="0">
    <w:p w:rsidR="00FD7A52" w:rsidRDefault="00FD7A5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52" w:rsidRDefault="00FD7A52" w:rsidP="00362CD9">
      <w:r>
        <w:separator/>
      </w:r>
    </w:p>
  </w:footnote>
  <w:footnote w:type="continuationSeparator" w:id="0">
    <w:p w:rsidR="00FD7A52" w:rsidRDefault="00FD7A5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E0" w:rsidRDefault="001037E0" w:rsidP="0025653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3F991003"/>
    <w:multiLevelType w:val="hybridMultilevel"/>
    <w:tmpl w:val="9704DDBE"/>
    <w:lvl w:ilvl="0" w:tplc="CE007A7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7D"/>
    <w:rsid w:val="000005D3"/>
    <w:rsid w:val="000227A7"/>
    <w:rsid w:val="0004700E"/>
    <w:rsid w:val="00070C13"/>
    <w:rsid w:val="00084F33"/>
    <w:rsid w:val="000A77A7"/>
    <w:rsid w:val="000C1B3E"/>
    <w:rsid w:val="000C43F4"/>
    <w:rsid w:val="001037E0"/>
    <w:rsid w:val="00110E7D"/>
    <w:rsid w:val="00177F4D"/>
    <w:rsid w:val="00180DDA"/>
    <w:rsid w:val="00186239"/>
    <w:rsid w:val="001B2A2D"/>
    <w:rsid w:val="001B737D"/>
    <w:rsid w:val="001C44A3"/>
    <w:rsid w:val="001E0E15"/>
    <w:rsid w:val="001F528A"/>
    <w:rsid w:val="001F704E"/>
    <w:rsid w:val="002125B0"/>
    <w:rsid w:val="00235BDC"/>
    <w:rsid w:val="00243228"/>
    <w:rsid w:val="00251483"/>
    <w:rsid w:val="00253FE4"/>
    <w:rsid w:val="00255CAA"/>
    <w:rsid w:val="00256535"/>
    <w:rsid w:val="00264305"/>
    <w:rsid w:val="00280FE9"/>
    <w:rsid w:val="002823BB"/>
    <w:rsid w:val="00294C3C"/>
    <w:rsid w:val="002A0346"/>
    <w:rsid w:val="002A4487"/>
    <w:rsid w:val="002D3E8B"/>
    <w:rsid w:val="002D4575"/>
    <w:rsid w:val="002D5C0C"/>
    <w:rsid w:val="002E03D1"/>
    <w:rsid w:val="002E51D5"/>
    <w:rsid w:val="002E6B74"/>
    <w:rsid w:val="00356CD0"/>
    <w:rsid w:val="00362CD9"/>
    <w:rsid w:val="003761CA"/>
    <w:rsid w:val="00380DAF"/>
    <w:rsid w:val="0039209A"/>
    <w:rsid w:val="003B28F5"/>
    <w:rsid w:val="003B7B7D"/>
    <w:rsid w:val="003C54CB"/>
    <w:rsid w:val="003C7A2A"/>
    <w:rsid w:val="003D69D0"/>
    <w:rsid w:val="003E367B"/>
    <w:rsid w:val="003F2918"/>
    <w:rsid w:val="003F430E"/>
    <w:rsid w:val="0041088C"/>
    <w:rsid w:val="00431B19"/>
    <w:rsid w:val="004579C9"/>
    <w:rsid w:val="00462D63"/>
    <w:rsid w:val="004661AD"/>
    <w:rsid w:val="004D1D85"/>
    <w:rsid w:val="004D3C3A"/>
    <w:rsid w:val="005107EB"/>
    <w:rsid w:val="005142A8"/>
    <w:rsid w:val="00521345"/>
    <w:rsid w:val="00526DF0"/>
    <w:rsid w:val="00545CC4"/>
    <w:rsid w:val="00551FFF"/>
    <w:rsid w:val="005607A2"/>
    <w:rsid w:val="0057198B"/>
    <w:rsid w:val="005767C4"/>
    <w:rsid w:val="005B32A3"/>
    <w:rsid w:val="005B3D80"/>
    <w:rsid w:val="005C0D44"/>
    <w:rsid w:val="005C566C"/>
    <w:rsid w:val="005C7E69"/>
    <w:rsid w:val="005E262D"/>
    <w:rsid w:val="005F23D3"/>
    <w:rsid w:val="005F7E20"/>
    <w:rsid w:val="00611B02"/>
    <w:rsid w:val="006652C3"/>
    <w:rsid w:val="00691FD0"/>
    <w:rsid w:val="006C5948"/>
    <w:rsid w:val="006F2A74"/>
    <w:rsid w:val="007118F5"/>
    <w:rsid w:val="00712AA4"/>
    <w:rsid w:val="00721AA1"/>
    <w:rsid w:val="00737CC0"/>
    <w:rsid w:val="007547F8"/>
    <w:rsid w:val="00756279"/>
    <w:rsid w:val="00765622"/>
    <w:rsid w:val="00770B6C"/>
    <w:rsid w:val="00783FEA"/>
    <w:rsid w:val="007E2059"/>
    <w:rsid w:val="007F73BE"/>
    <w:rsid w:val="0082480E"/>
    <w:rsid w:val="00850293"/>
    <w:rsid w:val="00851373"/>
    <w:rsid w:val="00851BA6"/>
    <w:rsid w:val="0085654D"/>
    <w:rsid w:val="00861160"/>
    <w:rsid w:val="0086654F"/>
    <w:rsid w:val="00894AB7"/>
    <w:rsid w:val="008A07E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85101"/>
    <w:rsid w:val="009A20AE"/>
    <w:rsid w:val="009B1197"/>
    <w:rsid w:val="009F5461"/>
    <w:rsid w:val="00A0389B"/>
    <w:rsid w:val="00A446C9"/>
    <w:rsid w:val="00A635D6"/>
    <w:rsid w:val="00A70123"/>
    <w:rsid w:val="00A8553A"/>
    <w:rsid w:val="00A93AED"/>
    <w:rsid w:val="00AA30AE"/>
    <w:rsid w:val="00B226F2"/>
    <w:rsid w:val="00B24555"/>
    <w:rsid w:val="00B274DF"/>
    <w:rsid w:val="00B56BDF"/>
    <w:rsid w:val="00B65812"/>
    <w:rsid w:val="00B85CD6"/>
    <w:rsid w:val="00B90A27"/>
    <w:rsid w:val="00B9554D"/>
    <w:rsid w:val="00BB2B9F"/>
    <w:rsid w:val="00BB3FAC"/>
    <w:rsid w:val="00BB7D9E"/>
    <w:rsid w:val="00BD3CB8"/>
    <w:rsid w:val="00BD4E6F"/>
    <w:rsid w:val="00BF4DCE"/>
    <w:rsid w:val="00C05CE5"/>
    <w:rsid w:val="00C3450C"/>
    <w:rsid w:val="00C55F34"/>
    <w:rsid w:val="00C6171E"/>
    <w:rsid w:val="00C706B4"/>
    <w:rsid w:val="00CA6F2C"/>
    <w:rsid w:val="00CD4574"/>
    <w:rsid w:val="00CF1871"/>
    <w:rsid w:val="00CF7DBD"/>
    <w:rsid w:val="00D1133E"/>
    <w:rsid w:val="00D17A34"/>
    <w:rsid w:val="00D26628"/>
    <w:rsid w:val="00D332B3"/>
    <w:rsid w:val="00D55207"/>
    <w:rsid w:val="00D65629"/>
    <w:rsid w:val="00D77B3C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536C"/>
    <w:rsid w:val="00EB75EE"/>
    <w:rsid w:val="00EE4C1D"/>
    <w:rsid w:val="00EF3685"/>
    <w:rsid w:val="00F03453"/>
    <w:rsid w:val="00F159EB"/>
    <w:rsid w:val="00F25BF4"/>
    <w:rsid w:val="00F267DB"/>
    <w:rsid w:val="00F46F6F"/>
    <w:rsid w:val="00F50EFE"/>
    <w:rsid w:val="00F60608"/>
    <w:rsid w:val="00F62217"/>
    <w:rsid w:val="00FB17A9"/>
    <w:rsid w:val="00FB527C"/>
    <w:rsid w:val="00FB6F75"/>
    <w:rsid w:val="00FC0D40"/>
    <w:rsid w:val="00FC0EB3"/>
    <w:rsid w:val="00FD3D7E"/>
    <w:rsid w:val="00FD4C6E"/>
    <w:rsid w:val="00FD675E"/>
    <w:rsid w:val="00FD7A52"/>
    <w:rsid w:val="00FF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D4C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D4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A\VTS\IALA\VTS%20Ctee\VTS%2034\VTS%20Committee%20input%20paper_Sep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1802D-99ED-4158-BBD6-47B3B067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VTS Committee input paper_Sep11.dot</Template>
  <TotalTime>3</TotalTime>
  <Pages>2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London Authority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Goldman</dc:creator>
  <cp:lastModifiedBy>Wim</cp:lastModifiedBy>
  <cp:revision>3</cp:revision>
  <cp:lastPrinted>2016-02-05T17:07:00Z</cp:lastPrinted>
  <dcterms:created xsi:type="dcterms:W3CDTF">2016-02-07T18:31:00Z</dcterms:created>
  <dcterms:modified xsi:type="dcterms:W3CDTF">2016-02-09T12:07:00Z</dcterms:modified>
</cp:coreProperties>
</file>